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ИНСТРУКЦИЯ</w:t>
      </w:r>
    </w:p>
    <w:p>
      <w:pPr>
        <w:spacing w:after="360"/>
      </w:pPr>
      <w:r>
        <w:rPr>
          <w:sz w:val="22"/>
          <w:color w:val="444444"/>
        </w:rPr>
        <w:t xml:space="preserve">Порядок работы со штангенциркулем и уход за инструментом</w:t>
      </w:r>
    </w:p>
    <w:p>
      <w:pPr>
        <w:spacing w:after="180" w:line="300" w:lineRule="auto"/>
        <w:jc w:val="both"/>
      </w:pPr>
      <w:r>
        <w:rPr>
          <w:sz w:val="22"/>
        </w:rPr>
        <w:t xml:space="preserve">Перед измерением очистите измерительные поверхности и проверьте нулевое положение нониуса.</w:t>
      </w:r>
    </w:p>
    <w:p>
      <w:pPr>
        <w:spacing w:after="180" w:line="300" w:lineRule="auto"/>
        <w:jc w:val="both"/>
      </w:pPr>
      <w:r>
        <w:rPr>
          <w:sz w:val="22"/>
        </w:rPr>
        <w:t xml:space="preserve">Не допускайте перекоса губок и чрезмерного измерительного усилия. Показания снимайте при закрытом стопорном винте.</w:t>
      </w:r>
    </w:p>
    <w:p>
      <w:pPr>
        <w:spacing w:after="180" w:line="300" w:lineRule="auto"/>
        <w:jc w:val="both"/>
      </w:pPr>
      <w:r>
        <w:rPr>
          <w:sz w:val="22"/>
        </w:rPr>
        <w:t xml:space="preserve">После работы протрите инструмент мягкой тканью, нанесите тонкий слой антикоррозионной смазки и храните в футляре.</w:t>
      </w:r>
    </w:p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